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5B" w:rsidRPr="00B14DD0" w:rsidRDefault="000255E8" w:rsidP="00116900">
      <w:pPr>
        <w:spacing w:after="0" w:line="360" w:lineRule="auto"/>
        <w:jc w:val="both"/>
        <w:rPr>
          <w:sz w:val="24"/>
          <w:szCs w:val="24"/>
        </w:rPr>
      </w:pPr>
      <w:r w:rsidRPr="00B14DD0">
        <w:rPr>
          <w:sz w:val="24"/>
          <w:szCs w:val="24"/>
        </w:rPr>
        <w:t>ZNPPRZ/</w:t>
      </w:r>
      <w:r w:rsidR="000E43F1">
        <w:rPr>
          <w:sz w:val="24"/>
          <w:szCs w:val="24"/>
        </w:rPr>
        <w:t>1</w:t>
      </w:r>
      <w:r w:rsidR="0073440E">
        <w:rPr>
          <w:sz w:val="24"/>
          <w:szCs w:val="24"/>
        </w:rPr>
        <w:t>7</w:t>
      </w:r>
      <w:r w:rsidRPr="00B14DD0">
        <w:rPr>
          <w:sz w:val="24"/>
          <w:szCs w:val="24"/>
        </w:rPr>
        <w:t>/2019</w:t>
      </w:r>
    </w:p>
    <w:p w:rsidR="00332B5E" w:rsidRPr="00B14DD0" w:rsidRDefault="00332B5E" w:rsidP="00173A36">
      <w:pPr>
        <w:spacing w:after="0" w:line="360" w:lineRule="auto"/>
        <w:jc w:val="right"/>
        <w:rPr>
          <w:sz w:val="24"/>
          <w:szCs w:val="24"/>
        </w:rPr>
      </w:pPr>
      <w:r w:rsidRPr="00B14DD0">
        <w:rPr>
          <w:sz w:val="24"/>
          <w:szCs w:val="24"/>
        </w:rPr>
        <w:t xml:space="preserve">Rzeszów, </w:t>
      </w:r>
      <w:r w:rsidR="00E51CBB">
        <w:rPr>
          <w:sz w:val="24"/>
          <w:szCs w:val="24"/>
        </w:rPr>
        <w:t>8</w:t>
      </w:r>
      <w:r w:rsidRPr="00B14DD0">
        <w:rPr>
          <w:sz w:val="24"/>
          <w:szCs w:val="24"/>
        </w:rPr>
        <w:t>.</w:t>
      </w:r>
      <w:r w:rsidR="00E51CBB">
        <w:rPr>
          <w:sz w:val="24"/>
          <w:szCs w:val="24"/>
        </w:rPr>
        <w:t>10</w:t>
      </w:r>
      <w:r w:rsidRPr="00B14DD0">
        <w:rPr>
          <w:sz w:val="24"/>
          <w:szCs w:val="24"/>
        </w:rPr>
        <w:t>.2019</w:t>
      </w:r>
    </w:p>
    <w:p w:rsidR="00173A36" w:rsidRPr="00B14DD0" w:rsidRDefault="00173A36" w:rsidP="00116900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332B5E" w:rsidRDefault="006E3A7F" w:rsidP="00173A36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Sz. P. Pror</w:t>
      </w:r>
      <w:r w:rsidR="00332B5E" w:rsidRPr="00B14DD0">
        <w:rPr>
          <w:b/>
          <w:sz w:val="24"/>
          <w:szCs w:val="24"/>
        </w:rPr>
        <w:t>ektor Politechniki Rzeszowskiej</w:t>
      </w:r>
    </w:p>
    <w:p w:rsidR="006E3A7F" w:rsidRPr="00B14DD0" w:rsidRDefault="006E3A7F" w:rsidP="00173A36">
      <w:pPr>
        <w:spacing w:after="0"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ds. Nauki</w:t>
      </w:r>
    </w:p>
    <w:p w:rsidR="00332B5E" w:rsidRPr="00B14DD0" w:rsidRDefault="00332B5E" w:rsidP="00173A36">
      <w:pPr>
        <w:spacing w:after="0" w:line="360" w:lineRule="auto"/>
        <w:jc w:val="right"/>
        <w:rPr>
          <w:b/>
          <w:sz w:val="24"/>
          <w:szCs w:val="24"/>
        </w:rPr>
      </w:pPr>
      <w:r w:rsidRPr="00B14DD0">
        <w:rPr>
          <w:b/>
          <w:sz w:val="24"/>
          <w:szCs w:val="24"/>
        </w:rPr>
        <w:t xml:space="preserve">prof. dr hab. inż. </w:t>
      </w:r>
      <w:r w:rsidR="006E3A7F">
        <w:rPr>
          <w:b/>
          <w:sz w:val="24"/>
          <w:szCs w:val="24"/>
        </w:rPr>
        <w:t>Grzegorz Budzik</w:t>
      </w:r>
    </w:p>
    <w:p w:rsidR="008C4198" w:rsidRPr="00B14DD0" w:rsidRDefault="008C4198" w:rsidP="00116900">
      <w:pPr>
        <w:spacing w:after="0" w:line="360" w:lineRule="auto"/>
        <w:jc w:val="both"/>
        <w:rPr>
          <w:sz w:val="24"/>
          <w:szCs w:val="24"/>
        </w:rPr>
      </w:pPr>
    </w:p>
    <w:p w:rsidR="00E51CBB" w:rsidRDefault="00E51CBB" w:rsidP="00E837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związku z podpisaniem 13 września br. wspólnego porozumienia pomiędzy związkami zawodowymi, a Panem Rektorem dotyczącego regulaminu pracy i jego wejściem w życie 1 października br. chcieliśmy się ustosunkować </w:t>
      </w:r>
      <w:r w:rsidR="00126748">
        <w:rPr>
          <w:sz w:val="24"/>
          <w:szCs w:val="24"/>
        </w:rPr>
        <w:t>do obecnego kształtu projektu regulaminu oceny parametrycznej nauczycieli akademickich. W piśmie z 10 września br. skierowanym do Pana Rektora zwracaliśmy uwagę, że zaopiniowanie regulaminu oceny parametrycznej nauczycieli akademickich powinno być poprzedzone uzgodnieniem regulaminu pracy.</w:t>
      </w:r>
    </w:p>
    <w:p w:rsidR="0045152E" w:rsidRDefault="00126748" w:rsidP="00E837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W </w:t>
      </w: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 xml:space="preserve">16 </w:t>
      </w:r>
      <w:r w:rsidR="00723941">
        <w:rPr>
          <w:sz w:val="24"/>
          <w:szCs w:val="24"/>
        </w:rPr>
        <w:t xml:space="preserve">wspomnianego </w:t>
      </w:r>
      <w:r>
        <w:rPr>
          <w:sz w:val="24"/>
          <w:szCs w:val="24"/>
        </w:rPr>
        <w:t xml:space="preserve">regulaminu pracy zostały zapisane </w:t>
      </w:r>
      <w:r w:rsidR="00723941">
        <w:rPr>
          <w:sz w:val="24"/>
          <w:szCs w:val="24"/>
        </w:rPr>
        <w:t xml:space="preserve">obowiązki poszczególnych grup nauczycieli akademickich, a mianowicie asystentów, adiunktów, profesorów uczelni, profesorów zarówno w grupie pracowników badawczo-dydaktycznych jak i dydaktycznych oraz </w:t>
      </w:r>
      <w:r w:rsidR="00DA41A1">
        <w:rPr>
          <w:sz w:val="24"/>
          <w:szCs w:val="24"/>
        </w:rPr>
        <w:t xml:space="preserve">lektorów. </w:t>
      </w:r>
      <w:r w:rsidR="00982AE7">
        <w:rPr>
          <w:sz w:val="24"/>
          <w:szCs w:val="24"/>
        </w:rPr>
        <w:t>Według nas, d</w:t>
      </w:r>
      <w:r w:rsidR="00DA41A1">
        <w:rPr>
          <w:sz w:val="24"/>
          <w:szCs w:val="24"/>
        </w:rPr>
        <w:t xml:space="preserve">la każdej z wymienionych grup powinien być osobny kwestionariusz oceny, który </w:t>
      </w:r>
      <w:r w:rsidR="0045152E">
        <w:rPr>
          <w:sz w:val="24"/>
          <w:szCs w:val="24"/>
        </w:rPr>
        <w:t>umożliwia</w:t>
      </w:r>
      <w:r w:rsidR="00DA41A1">
        <w:rPr>
          <w:sz w:val="24"/>
          <w:szCs w:val="24"/>
        </w:rPr>
        <w:t>łby</w:t>
      </w:r>
      <w:r w:rsidR="0045152E">
        <w:rPr>
          <w:sz w:val="24"/>
          <w:szCs w:val="24"/>
        </w:rPr>
        <w:t xml:space="preserve"> ustosunkowanie się ocenianego do </w:t>
      </w:r>
      <w:r w:rsidR="00E635B6">
        <w:rPr>
          <w:sz w:val="24"/>
          <w:szCs w:val="24"/>
        </w:rPr>
        <w:t xml:space="preserve">wypełniania </w:t>
      </w:r>
      <w:r w:rsidR="0045152E">
        <w:rPr>
          <w:sz w:val="24"/>
          <w:szCs w:val="24"/>
        </w:rPr>
        <w:t>zdefiniowanych w regulaminie pracy obowiązków</w:t>
      </w:r>
      <w:r w:rsidR="00E635B6">
        <w:rPr>
          <w:sz w:val="24"/>
          <w:szCs w:val="24"/>
        </w:rPr>
        <w:t>, przekładającego się na określone osiągnięcia</w:t>
      </w:r>
      <w:r w:rsidR="0045152E">
        <w:rPr>
          <w:sz w:val="24"/>
          <w:szCs w:val="24"/>
        </w:rPr>
        <w:t xml:space="preserve">. </w:t>
      </w:r>
    </w:p>
    <w:p w:rsidR="00F25807" w:rsidRDefault="00982AE7" w:rsidP="00F258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25807">
        <w:rPr>
          <w:sz w:val="24"/>
          <w:szCs w:val="24"/>
        </w:rPr>
        <w:t xml:space="preserve">W </w:t>
      </w:r>
      <w:r w:rsidR="00F25807">
        <w:rPr>
          <w:rFonts w:cstheme="minorHAnsi"/>
          <w:sz w:val="24"/>
          <w:szCs w:val="24"/>
        </w:rPr>
        <w:t>§</w:t>
      </w:r>
      <w:r w:rsidR="00F25807">
        <w:rPr>
          <w:sz w:val="24"/>
          <w:szCs w:val="24"/>
        </w:rPr>
        <w:t xml:space="preserve">1 pkt. 3 projektu </w:t>
      </w:r>
      <w:r w:rsidR="00F25807" w:rsidRPr="00982AE7">
        <w:rPr>
          <w:sz w:val="24"/>
          <w:szCs w:val="24"/>
        </w:rPr>
        <w:t>Regulamin</w:t>
      </w:r>
      <w:r w:rsidR="00F25807">
        <w:rPr>
          <w:sz w:val="24"/>
          <w:szCs w:val="24"/>
        </w:rPr>
        <w:t>u</w:t>
      </w:r>
      <w:r w:rsidR="00F25807" w:rsidRPr="00982AE7">
        <w:rPr>
          <w:sz w:val="24"/>
          <w:szCs w:val="24"/>
        </w:rPr>
        <w:t xml:space="preserve"> oceny okresowej nauczycieli akademickich</w:t>
      </w:r>
      <w:r w:rsidR="00F25807">
        <w:rPr>
          <w:sz w:val="24"/>
          <w:szCs w:val="24"/>
        </w:rPr>
        <w:t xml:space="preserve"> proponuje się, aby w</w:t>
      </w:r>
      <w:r w:rsidR="00F25807" w:rsidRPr="00F25807">
        <w:rPr>
          <w:sz w:val="24"/>
          <w:szCs w:val="24"/>
        </w:rPr>
        <w:t>yniki oceny stanowi</w:t>
      </w:r>
      <w:r w:rsidR="00F25807">
        <w:rPr>
          <w:sz w:val="24"/>
          <w:szCs w:val="24"/>
        </w:rPr>
        <w:t>ły</w:t>
      </w:r>
      <w:r w:rsidR="00F25807" w:rsidRPr="00F25807">
        <w:rPr>
          <w:sz w:val="24"/>
          <w:szCs w:val="24"/>
        </w:rPr>
        <w:t xml:space="preserve"> podstawę polityki kadrowej oraz </w:t>
      </w:r>
      <w:r w:rsidR="00F25807">
        <w:rPr>
          <w:sz w:val="24"/>
          <w:szCs w:val="24"/>
        </w:rPr>
        <w:t>były</w:t>
      </w:r>
      <w:r w:rsidR="00F25807" w:rsidRPr="00F25807">
        <w:rPr>
          <w:sz w:val="24"/>
          <w:szCs w:val="24"/>
        </w:rPr>
        <w:t xml:space="preserve"> uwzględniane przy awansach i ustalaniu wysokości wynagrodzenia</w:t>
      </w:r>
      <w:r w:rsidR="00F25807">
        <w:rPr>
          <w:sz w:val="24"/>
          <w:szCs w:val="24"/>
        </w:rPr>
        <w:t xml:space="preserve">. Natomiast </w:t>
      </w:r>
      <w:r w:rsidR="00F25807">
        <w:rPr>
          <w:rFonts w:cstheme="minorHAnsi"/>
          <w:sz w:val="24"/>
          <w:szCs w:val="24"/>
        </w:rPr>
        <w:t>§</w:t>
      </w:r>
      <w:r w:rsidR="00AA422E">
        <w:rPr>
          <w:rFonts w:cstheme="minorHAnsi"/>
          <w:sz w:val="24"/>
          <w:szCs w:val="24"/>
        </w:rPr>
        <w:t>4</w:t>
      </w:r>
      <w:r w:rsidR="00F25807">
        <w:rPr>
          <w:sz w:val="24"/>
          <w:szCs w:val="24"/>
        </w:rPr>
        <w:t xml:space="preserve"> pkt. 9 brzmi: „</w:t>
      </w:r>
      <w:r w:rsidR="00F25807" w:rsidRPr="00F25807">
        <w:rPr>
          <w:i/>
          <w:sz w:val="24"/>
          <w:szCs w:val="24"/>
        </w:rPr>
        <w:t>Komisja przedstawia wynik końcowy oceny pracownika, używając wyrażeń słownych: pozytywna; negatywna</w:t>
      </w:r>
      <w:r w:rsidR="00F25807" w:rsidRPr="00F25807">
        <w:rPr>
          <w:sz w:val="24"/>
          <w:szCs w:val="24"/>
        </w:rPr>
        <w:t>.</w:t>
      </w:r>
      <w:r w:rsidR="00F25807">
        <w:rPr>
          <w:sz w:val="24"/>
          <w:szCs w:val="24"/>
        </w:rPr>
        <w:t>”  Po analizie tych dwóch zapisów powstaje pytanie jak prowadzić politykę kadrową</w:t>
      </w:r>
      <w:r w:rsidR="00E635B6">
        <w:rPr>
          <w:sz w:val="24"/>
          <w:szCs w:val="24"/>
        </w:rPr>
        <w:t xml:space="preserve"> i</w:t>
      </w:r>
      <w:r w:rsidR="00F25807">
        <w:rPr>
          <w:sz w:val="24"/>
          <w:szCs w:val="24"/>
        </w:rPr>
        <w:t xml:space="preserve"> awans</w:t>
      </w:r>
      <w:r w:rsidR="00E635B6">
        <w:rPr>
          <w:sz w:val="24"/>
          <w:szCs w:val="24"/>
        </w:rPr>
        <w:t>ów</w:t>
      </w:r>
      <w:r w:rsidR="00F25807">
        <w:rPr>
          <w:sz w:val="24"/>
          <w:szCs w:val="24"/>
        </w:rPr>
        <w:t xml:space="preserve"> czy ustalać wysokość wynagrodzenia dysponując wiedzą, że pracownik, jak zapewne wielu innych, otrzymało ocenę pozytywną? Według nas jest to niemożliwe</w:t>
      </w:r>
      <w:r w:rsidR="00AA422E">
        <w:rPr>
          <w:sz w:val="24"/>
          <w:szCs w:val="24"/>
        </w:rPr>
        <w:t xml:space="preserve">, biorąc pod uwagę samą ocenę. </w:t>
      </w:r>
    </w:p>
    <w:p w:rsidR="00982AE7" w:rsidRPr="00982AE7" w:rsidRDefault="00F25807" w:rsidP="00982AE7">
      <w:pPr>
        <w:spacing w:after="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982AE7">
        <w:rPr>
          <w:sz w:val="24"/>
          <w:szCs w:val="24"/>
        </w:rPr>
        <w:t xml:space="preserve">W </w:t>
      </w:r>
      <w:r w:rsidR="00982AE7">
        <w:rPr>
          <w:rFonts w:cstheme="minorHAnsi"/>
          <w:sz w:val="24"/>
          <w:szCs w:val="24"/>
        </w:rPr>
        <w:t>§</w:t>
      </w:r>
      <w:r w:rsidR="00982AE7">
        <w:rPr>
          <w:sz w:val="24"/>
          <w:szCs w:val="24"/>
        </w:rPr>
        <w:t>1 pkt.</w:t>
      </w:r>
      <w:r>
        <w:rPr>
          <w:sz w:val="24"/>
          <w:szCs w:val="24"/>
        </w:rPr>
        <w:t xml:space="preserve"> </w:t>
      </w:r>
      <w:r w:rsidR="00982AE7">
        <w:rPr>
          <w:sz w:val="24"/>
          <w:szCs w:val="24"/>
        </w:rPr>
        <w:t xml:space="preserve">5 projektu </w:t>
      </w:r>
      <w:r w:rsidR="00982AE7" w:rsidRPr="00982AE7">
        <w:rPr>
          <w:sz w:val="24"/>
          <w:szCs w:val="24"/>
        </w:rPr>
        <w:t>Regulamin</w:t>
      </w:r>
      <w:r w:rsidR="00982AE7">
        <w:rPr>
          <w:sz w:val="24"/>
          <w:szCs w:val="24"/>
        </w:rPr>
        <w:t>u</w:t>
      </w:r>
      <w:r w:rsidR="00982AE7" w:rsidRPr="00982AE7">
        <w:rPr>
          <w:sz w:val="24"/>
          <w:szCs w:val="24"/>
        </w:rPr>
        <w:t xml:space="preserve"> oceny okresowej nauczycieli akademickich</w:t>
      </w:r>
      <w:r w:rsidR="00982AE7">
        <w:rPr>
          <w:sz w:val="24"/>
          <w:szCs w:val="24"/>
        </w:rPr>
        <w:t xml:space="preserve"> jest zapisane, że: „</w:t>
      </w:r>
      <w:r w:rsidR="00982AE7" w:rsidRPr="00982AE7">
        <w:rPr>
          <w:i/>
          <w:sz w:val="24"/>
          <w:szCs w:val="24"/>
        </w:rPr>
        <w:t xml:space="preserve">Ocenę pozytywną otrzymuje nauczyciel akademicki, który uzyskał ocenę </w:t>
      </w:r>
      <w:r w:rsidR="00982AE7" w:rsidRPr="00982AE7">
        <w:rPr>
          <w:i/>
          <w:sz w:val="24"/>
          <w:szCs w:val="24"/>
        </w:rPr>
        <w:lastRenderedPageBreak/>
        <w:t>pozytywną we wszystkich ocenianych obszarach właściwych dla zajmowanego przez niego stanowiska w danej grupie:</w:t>
      </w:r>
    </w:p>
    <w:p w:rsidR="00982AE7" w:rsidRPr="00982AE7" w:rsidRDefault="00982AE7" w:rsidP="00982AE7">
      <w:pPr>
        <w:spacing w:after="0" w:line="360" w:lineRule="auto"/>
        <w:jc w:val="both"/>
        <w:rPr>
          <w:i/>
          <w:sz w:val="24"/>
          <w:szCs w:val="24"/>
        </w:rPr>
      </w:pPr>
      <w:r w:rsidRPr="00982AE7">
        <w:rPr>
          <w:i/>
          <w:sz w:val="24"/>
          <w:szCs w:val="24"/>
        </w:rPr>
        <w:t>1) pracownik zatrudniony w grupie pracowników badawczo dydaktycznych – ocena z działalności naukowej, dydaktycznej i organizacyjnej,</w:t>
      </w:r>
    </w:p>
    <w:p w:rsidR="00982AE7" w:rsidRPr="00982AE7" w:rsidRDefault="00982AE7" w:rsidP="00982AE7">
      <w:pPr>
        <w:spacing w:after="0" w:line="360" w:lineRule="auto"/>
        <w:jc w:val="both"/>
        <w:rPr>
          <w:i/>
          <w:sz w:val="24"/>
          <w:szCs w:val="24"/>
        </w:rPr>
      </w:pPr>
      <w:r w:rsidRPr="00982AE7">
        <w:rPr>
          <w:i/>
          <w:sz w:val="24"/>
          <w:szCs w:val="24"/>
        </w:rPr>
        <w:t>2) pracownik zatrudniony w grupie pracowników badawczych – ocena działalności naukowej i organizacyjnej,</w:t>
      </w:r>
    </w:p>
    <w:p w:rsidR="00982AE7" w:rsidRDefault="00982AE7" w:rsidP="00982AE7">
      <w:pPr>
        <w:spacing w:after="0" w:line="360" w:lineRule="auto"/>
        <w:jc w:val="both"/>
        <w:rPr>
          <w:sz w:val="24"/>
          <w:szCs w:val="24"/>
        </w:rPr>
      </w:pPr>
      <w:r w:rsidRPr="00982AE7">
        <w:rPr>
          <w:i/>
          <w:sz w:val="24"/>
          <w:szCs w:val="24"/>
        </w:rPr>
        <w:t>3) pracownik zatrudniony w grupie pracowników dydaktycznych- ocena działalności dydaktycznej i organizacyjnej</w:t>
      </w:r>
      <w:r w:rsidRPr="00982AE7">
        <w:rPr>
          <w:sz w:val="24"/>
          <w:szCs w:val="24"/>
        </w:rPr>
        <w:t>.</w:t>
      </w:r>
      <w:r>
        <w:rPr>
          <w:sz w:val="24"/>
          <w:szCs w:val="24"/>
        </w:rPr>
        <w:t xml:space="preserve">” Czy w sytuacji, gdy ustawa </w:t>
      </w:r>
      <w:r w:rsidRPr="00982AE7">
        <w:rPr>
          <w:sz w:val="24"/>
          <w:szCs w:val="24"/>
        </w:rPr>
        <w:t>z dnia 20 lipca 2018 r. Prawo o szkolnictwie wyższym i nauce (Dz. U. z 2018 r., poz. 1668)</w:t>
      </w:r>
      <w:r>
        <w:rPr>
          <w:sz w:val="24"/>
          <w:szCs w:val="24"/>
        </w:rPr>
        <w:t xml:space="preserve"> uzależnia ocenę jakości działalności naukowej w ramach dyscyplin uprawianych na danej uczelni od indywidulanych osiągnięć pracowników reprezentujących daną dyscyplinę </w:t>
      </w:r>
      <w:r w:rsidR="00D7066D">
        <w:rPr>
          <w:sz w:val="24"/>
          <w:szCs w:val="24"/>
        </w:rPr>
        <w:t xml:space="preserve">pożądana jest sytuacja, w której aktywny naukowiec otrzyma ocenę negatywną, ponieważ swój czas całkiem poświęcił na naukę i dydaktykę, a zaniedbał kwestie organizacyjne? Lepszym rozwiązaniem byłoby, aby w przypadku wybijających się naukowo pracowników nie stawiać negatywnej oceny, gdyby nie sprawdzali się organizacyjnie. </w:t>
      </w:r>
      <w:r w:rsidR="00F25807">
        <w:rPr>
          <w:sz w:val="24"/>
          <w:szCs w:val="24"/>
        </w:rPr>
        <w:t>Natomiast w</w:t>
      </w:r>
      <w:r w:rsidR="00D7066D">
        <w:rPr>
          <w:sz w:val="24"/>
          <w:szCs w:val="24"/>
        </w:rPr>
        <w:t xml:space="preserve">ysokie zaangażowanie pracownika badawczo-dydaktycznego w działalność organizacyjną mogłoby przesądzać o jego ocenie pozytywnej w przypadku, gdyby w badanym okresie </w:t>
      </w:r>
      <w:r w:rsidR="00F25807">
        <w:rPr>
          <w:sz w:val="24"/>
          <w:szCs w:val="24"/>
        </w:rPr>
        <w:t>wykazywał się</w:t>
      </w:r>
      <w:r w:rsidR="00D7066D">
        <w:rPr>
          <w:sz w:val="24"/>
          <w:szCs w:val="24"/>
        </w:rPr>
        <w:t xml:space="preserve"> </w:t>
      </w:r>
      <w:r w:rsidR="00F25807">
        <w:rPr>
          <w:sz w:val="24"/>
          <w:szCs w:val="24"/>
        </w:rPr>
        <w:t>niższą aktywnością naukową.</w:t>
      </w:r>
      <w:r w:rsidR="00D7066D">
        <w:rPr>
          <w:sz w:val="24"/>
          <w:szCs w:val="24"/>
        </w:rPr>
        <w:t xml:space="preserve"> </w:t>
      </w:r>
    </w:p>
    <w:p w:rsidR="00AA422E" w:rsidRDefault="00AA422E" w:rsidP="00AA422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Najbardziej dyskusyjną częścią przedłożonego projektu Regulaminu oceny nauczycieli akademickich jest </w:t>
      </w:r>
      <w:r>
        <w:rPr>
          <w:rFonts w:cstheme="minorHAnsi"/>
          <w:sz w:val="24"/>
          <w:szCs w:val="24"/>
        </w:rPr>
        <w:t>§4</w:t>
      </w:r>
      <w:r>
        <w:rPr>
          <w:sz w:val="24"/>
          <w:szCs w:val="24"/>
        </w:rPr>
        <w:t xml:space="preserve"> pkt. 10 i 11. Na chwilę obecną są zapisane:</w:t>
      </w:r>
    </w:p>
    <w:p w:rsidR="00AA422E" w:rsidRPr="00E635B6" w:rsidRDefault="00AA422E" w:rsidP="00AA422E">
      <w:pPr>
        <w:spacing w:after="0"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Pr="00E635B6">
        <w:rPr>
          <w:i/>
          <w:sz w:val="24"/>
          <w:szCs w:val="24"/>
        </w:rPr>
        <w:t>10. Ocena pozytywna jest wynikiem przekroczenia progu procentowego pozytywnie ocenionych kryteriów zawartych w formularzu, obejmująca obszary działalności zawierające się w specyfice zajmowanego stanowiska.</w:t>
      </w:r>
    </w:p>
    <w:p w:rsidR="00AA422E" w:rsidRPr="00E635B6" w:rsidRDefault="00AA422E" w:rsidP="00AA422E">
      <w:pPr>
        <w:spacing w:after="0" w:line="360" w:lineRule="auto"/>
        <w:jc w:val="both"/>
        <w:rPr>
          <w:i/>
          <w:sz w:val="24"/>
          <w:szCs w:val="24"/>
        </w:rPr>
      </w:pPr>
      <w:r w:rsidRPr="00E635B6">
        <w:rPr>
          <w:i/>
          <w:sz w:val="24"/>
          <w:szCs w:val="24"/>
        </w:rPr>
        <w:t>11. Progi procentowe dla poszczególnych stanowisk nauczycieli akademickich:</w:t>
      </w:r>
    </w:p>
    <w:p w:rsidR="00AA422E" w:rsidRPr="00E635B6" w:rsidRDefault="00AA422E" w:rsidP="00AA422E">
      <w:pPr>
        <w:spacing w:after="0" w:line="360" w:lineRule="auto"/>
        <w:jc w:val="both"/>
        <w:rPr>
          <w:i/>
          <w:sz w:val="24"/>
          <w:szCs w:val="24"/>
        </w:rPr>
      </w:pPr>
      <w:r w:rsidRPr="00E635B6">
        <w:rPr>
          <w:i/>
          <w:sz w:val="24"/>
          <w:szCs w:val="24"/>
        </w:rPr>
        <w:t>1) profesor - 50%,</w:t>
      </w:r>
    </w:p>
    <w:p w:rsidR="00AA422E" w:rsidRPr="00E635B6" w:rsidRDefault="00AA422E" w:rsidP="00AA422E">
      <w:pPr>
        <w:spacing w:after="0" w:line="360" w:lineRule="auto"/>
        <w:jc w:val="both"/>
        <w:rPr>
          <w:i/>
          <w:sz w:val="24"/>
          <w:szCs w:val="24"/>
        </w:rPr>
      </w:pPr>
      <w:r w:rsidRPr="00E635B6">
        <w:rPr>
          <w:i/>
          <w:sz w:val="24"/>
          <w:szCs w:val="24"/>
        </w:rPr>
        <w:t>2) profesor uczelni – 50%,</w:t>
      </w:r>
    </w:p>
    <w:p w:rsidR="00AA422E" w:rsidRPr="00E635B6" w:rsidRDefault="00AA422E" w:rsidP="00AA422E">
      <w:pPr>
        <w:spacing w:after="0" w:line="360" w:lineRule="auto"/>
        <w:jc w:val="both"/>
        <w:rPr>
          <w:i/>
          <w:sz w:val="24"/>
          <w:szCs w:val="24"/>
        </w:rPr>
      </w:pPr>
      <w:r w:rsidRPr="00E635B6">
        <w:rPr>
          <w:i/>
          <w:sz w:val="24"/>
          <w:szCs w:val="24"/>
        </w:rPr>
        <w:t>3) adiunkt – 50%,</w:t>
      </w:r>
    </w:p>
    <w:p w:rsidR="00AA422E" w:rsidRPr="00E635B6" w:rsidRDefault="00AA422E" w:rsidP="00AA422E">
      <w:pPr>
        <w:spacing w:after="0" w:line="360" w:lineRule="auto"/>
        <w:jc w:val="both"/>
        <w:rPr>
          <w:i/>
          <w:sz w:val="24"/>
          <w:szCs w:val="24"/>
        </w:rPr>
      </w:pPr>
      <w:r w:rsidRPr="00E635B6">
        <w:rPr>
          <w:i/>
          <w:sz w:val="24"/>
          <w:szCs w:val="24"/>
        </w:rPr>
        <w:t>4) asystent – 50%,</w:t>
      </w:r>
    </w:p>
    <w:p w:rsidR="00AA422E" w:rsidRDefault="00AA422E" w:rsidP="00AA422E">
      <w:pPr>
        <w:spacing w:after="0" w:line="360" w:lineRule="auto"/>
        <w:jc w:val="both"/>
        <w:rPr>
          <w:sz w:val="24"/>
          <w:szCs w:val="24"/>
        </w:rPr>
      </w:pPr>
      <w:r w:rsidRPr="00E635B6">
        <w:rPr>
          <w:i/>
          <w:sz w:val="24"/>
          <w:szCs w:val="24"/>
        </w:rPr>
        <w:t>5) lektor – 50%.</w:t>
      </w:r>
      <w:r>
        <w:rPr>
          <w:sz w:val="24"/>
          <w:szCs w:val="24"/>
        </w:rPr>
        <w:t>”</w:t>
      </w:r>
    </w:p>
    <w:p w:rsidR="00692719" w:rsidRDefault="00AA422E" w:rsidP="00AA422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Takie podejście prowadzi do zrównania znaczenia wszystkich wyszczególnionych w poszczególnych rodzajach działalności różnych </w:t>
      </w:r>
      <w:r w:rsidR="00E635B6">
        <w:rPr>
          <w:sz w:val="24"/>
          <w:szCs w:val="24"/>
        </w:rPr>
        <w:t>osiągnięć</w:t>
      </w:r>
      <w:r>
        <w:rPr>
          <w:sz w:val="24"/>
          <w:szCs w:val="24"/>
        </w:rPr>
        <w:t xml:space="preserve">. Czy na przykład autorstwo artykułu naukowego za 200 pkt. można porównać </w:t>
      </w:r>
      <w:r w:rsidR="002C4E7B">
        <w:rPr>
          <w:sz w:val="24"/>
          <w:szCs w:val="24"/>
        </w:rPr>
        <w:t>z c</w:t>
      </w:r>
      <w:r w:rsidR="002C4E7B" w:rsidRPr="002C4E7B">
        <w:rPr>
          <w:sz w:val="24"/>
          <w:szCs w:val="24"/>
        </w:rPr>
        <w:t>złonkostw</w:t>
      </w:r>
      <w:r w:rsidR="002C4E7B">
        <w:rPr>
          <w:sz w:val="24"/>
          <w:szCs w:val="24"/>
        </w:rPr>
        <w:t>em</w:t>
      </w:r>
      <w:r w:rsidR="002C4E7B" w:rsidRPr="002C4E7B">
        <w:rPr>
          <w:sz w:val="24"/>
          <w:szCs w:val="24"/>
        </w:rPr>
        <w:t xml:space="preserve"> w komitetach naukowych konferencji w charakterze: przewodniczącego</w:t>
      </w:r>
      <w:r w:rsidR="002C4E7B">
        <w:rPr>
          <w:sz w:val="24"/>
          <w:szCs w:val="24"/>
        </w:rPr>
        <w:t xml:space="preserve">, sekretarza czy członka? Ponadto pracownik, który był np. autorem kilku monografii za 300 pkt. i włożył mnóstwo wysiłku będzie mógł tylko raz w działalności naukowej wpisać sobie „tak”. W ten sposób może się okazać, że mimo wysokiej aktywności naukowej zostanie negatywnie oceniony. Uważamy także, że w arkuszu oceny pracownika, przy działalności naukowej jest wpisanych bardzo dużo takich rodzajów </w:t>
      </w:r>
      <w:r w:rsidR="00E635B6">
        <w:rPr>
          <w:sz w:val="24"/>
          <w:szCs w:val="24"/>
        </w:rPr>
        <w:t>osiągnięć</w:t>
      </w:r>
      <w:r w:rsidR="002C4E7B">
        <w:rPr>
          <w:sz w:val="24"/>
          <w:szCs w:val="24"/>
        </w:rPr>
        <w:t>, którymi nie będą się mogli wykazać pracownicy Wydziału Matematyki i Fizyki Stosowanej, Wydziału Zarządzania, Studium Języków Obcych czy Centrum Fizjoterapii i Sportu. Przedstawiony w omawianym projekcie system oceny działalności naukowej pozwala także na uzyskanie przez pracownika pozytywnej oceny bez</w:t>
      </w:r>
      <w:r w:rsidR="00303966">
        <w:rPr>
          <w:sz w:val="24"/>
          <w:szCs w:val="24"/>
        </w:rPr>
        <w:t xml:space="preserve"> konieczności </w:t>
      </w:r>
      <w:r w:rsidR="002C4E7B">
        <w:rPr>
          <w:sz w:val="24"/>
          <w:szCs w:val="24"/>
        </w:rPr>
        <w:t xml:space="preserve"> publikowania</w:t>
      </w:r>
      <w:r w:rsidR="00303966">
        <w:rPr>
          <w:sz w:val="24"/>
          <w:szCs w:val="24"/>
        </w:rPr>
        <w:t xml:space="preserve">, bowiem wystarczy, że będzie mógł wpisać słowo „tak” przy 18 z 35 osiągnięć w działalności naukowej, natomiast negatywnie wpłynie taki stan rzeczy na ewaluację dyscypliny, do której taka osoba jest przypisana. </w:t>
      </w:r>
      <w:r w:rsidR="00E635B6">
        <w:rPr>
          <w:sz w:val="24"/>
          <w:szCs w:val="24"/>
        </w:rPr>
        <w:t>Może należałoby jednak rozważyć podział kryteriów, na podstawie których dokonywana jest ocena działalności naukowej na podstawowe, charakterystyczne dla dyscypliny przypisanej pracownikowi i dodatkowe</w:t>
      </w:r>
      <w:r w:rsidR="00692719">
        <w:rPr>
          <w:sz w:val="24"/>
          <w:szCs w:val="24"/>
        </w:rPr>
        <w:t xml:space="preserve">, uniwersalne dla wszystkich. </w:t>
      </w:r>
    </w:p>
    <w:p w:rsidR="00AA422E" w:rsidRDefault="00692719" w:rsidP="00AA422E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Mamy nadzieję, że przedstawione opinie pomogą w stworzeniu systemu oceny nauczycieli, który pozwoli na rzetelną ocenę pracowników. Ze swojej strony deklarujemy w przedmiotowej sprawie chęć współpracy. </w:t>
      </w:r>
    </w:p>
    <w:p w:rsidR="00126748" w:rsidRDefault="00DA41A1" w:rsidP="00E837C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230A" w:rsidRPr="00B14DD0" w:rsidRDefault="007D230A" w:rsidP="0042418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61696" w:rsidRPr="00B14DD0" w:rsidRDefault="00461696" w:rsidP="00461696">
      <w:pPr>
        <w:spacing w:after="0" w:line="360" w:lineRule="auto"/>
        <w:jc w:val="both"/>
        <w:rPr>
          <w:sz w:val="24"/>
          <w:szCs w:val="24"/>
        </w:rPr>
      </w:pPr>
    </w:p>
    <w:p w:rsidR="00461696" w:rsidRPr="00B14DD0" w:rsidRDefault="00461696" w:rsidP="00461696">
      <w:pPr>
        <w:spacing w:after="0" w:line="360" w:lineRule="auto"/>
        <w:ind w:left="6521"/>
        <w:jc w:val="both"/>
        <w:rPr>
          <w:sz w:val="24"/>
          <w:szCs w:val="24"/>
        </w:rPr>
      </w:pPr>
      <w:r w:rsidRPr="00B14DD0">
        <w:rPr>
          <w:sz w:val="24"/>
          <w:szCs w:val="24"/>
        </w:rPr>
        <w:t>Z poważaniem</w:t>
      </w:r>
    </w:p>
    <w:p w:rsidR="00173A36" w:rsidRDefault="00173A36" w:rsidP="00461696">
      <w:pPr>
        <w:spacing w:after="0" w:line="360" w:lineRule="auto"/>
        <w:jc w:val="both"/>
      </w:pPr>
    </w:p>
    <w:p w:rsidR="00173A36" w:rsidRDefault="00173A36" w:rsidP="00116900">
      <w:pPr>
        <w:spacing w:after="0" w:line="360" w:lineRule="auto"/>
        <w:jc w:val="both"/>
      </w:pPr>
    </w:p>
    <w:p w:rsidR="00173A36" w:rsidRDefault="00692719" w:rsidP="00692719">
      <w:pPr>
        <w:tabs>
          <w:tab w:val="left" w:pos="2479"/>
        </w:tabs>
        <w:spacing w:after="0" w:line="360" w:lineRule="auto"/>
        <w:jc w:val="both"/>
      </w:pPr>
      <w:r>
        <w:tab/>
      </w:r>
    </w:p>
    <w:p w:rsidR="008C4198" w:rsidRDefault="008C4198" w:rsidP="00116900">
      <w:pPr>
        <w:spacing w:after="0" w:line="360" w:lineRule="auto"/>
        <w:jc w:val="both"/>
      </w:pPr>
    </w:p>
    <w:p w:rsidR="008C4198" w:rsidRDefault="008C4198" w:rsidP="00116900">
      <w:pPr>
        <w:spacing w:after="0" w:line="360" w:lineRule="auto"/>
        <w:jc w:val="both"/>
      </w:pPr>
    </w:p>
    <w:sectPr w:rsidR="008C419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3A" w:rsidRDefault="0023633A" w:rsidP="00116900">
      <w:pPr>
        <w:spacing w:after="0" w:line="240" w:lineRule="auto"/>
      </w:pPr>
      <w:r>
        <w:separator/>
      </w:r>
    </w:p>
  </w:endnote>
  <w:endnote w:type="continuationSeparator" w:id="0">
    <w:p w:rsidR="0023633A" w:rsidRDefault="0023633A" w:rsidP="0011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3A" w:rsidRDefault="0023633A" w:rsidP="00116900">
      <w:pPr>
        <w:spacing w:after="0" w:line="240" w:lineRule="auto"/>
      </w:pPr>
      <w:r>
        <w:separator/>
      </w:r>
    </w:p>
  </w:footnote>
  <w:footnote w:type="continuationSeparator" w:id="0">
    <w:p w:rsidR="0023633A" w:rsidRDefault="0023633A" w:rsidP="0011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900" w:rsidRDefault="00173A36">
    <w:pPr>
      <w:pStyle w:val="Nagwek"/>
      <w:rPr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333EF" wp14:editId="26BC218E">
              <wp:simplePos x="0" y="0"/>
              <wp:positionH relativeFrom="column">
                <wp:posOffset>-1298</wp:posOffset>
              </wp:positionH>
              <wp:positionV relativeFrom="paragraph">
                <wp:posOffset>854434</wp:posOffset>
              </wp:positionV>
              <wp:extent cx="5756745" cy="0"/>
              <wp:effectExtent l="0" t="0" r="1587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7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1pt,67.3pt" to="453.2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" strokecolor="#4579b8 [3044]"/>
          </w:pict>
        </mc:Fallback>
      </mc:AlternateContent>
    </w:r>
    <w:r w:rsidR="00116900">
      <w:rPr>
        <w:noProof/>
        <w:lang w:eastAsia="pl-PL"/>
      </w:rPr>
      <w:drawing>
        <wp:inline distT="0" distB="0" distL="0" distR="0" wp14:anchorId="1A60143D" wp14:editId="72F51EDB">
          <wp:extent cx="5760720" cy="732933"/>
          <wp:effectExtent l="0" t="0" r="0" b="0"/>
          <wp:docPr id="1" name="Obraz 1" descr="Witamy na stonie RSzWiN Z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itamy na stonie RSzWiN ZN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6900" w:rsidRPr="00332B5E">
      <w:rPr>
        <w:sz w:val="18"/>
        <w:szCs w:val="18"/>
      </w:rPr>
      <w:t>ZNP w Politechnice Rzeszowskiej, ul</w:t>
    </w:r>
    <w:r w:rsidR="00FA583B">
      <w:rPr>
        <w:sz w:val="18"/>
        <w:szCs w:val="18"/>
      </w:rPr>
      <w:t>. Powstańców Warszawy 8, p. 109b</w:t>
    </w:r>
    <w:r w:rsidR="00116900" w:rsidRPr="00332B5E">
      <w:rPr>
        <w:sz w:val="18"/>
        <w:szCs w:val="18"/>
      </w:rPr>
      <w:t>, tel. 17</w:t>
    </w:r>
    <w:r w:rsidR="00332B5E" w:rsidRPr="00332B5E">
      <w:rPr>
        <w:sz w:val="18"/>
        <w:szCs w:val="18"/>
      </w:rPr>
      <w:t> </w:t>
    </w:r>
    <w:r w:rsidR="00116900" w:rsidRPr="00332B5E">
      <w:rPr>
        <w:sz w:val="18"/>
        <w:szCs w:val="18"/>
      </w:rPr>
      <w:t>865</w:t>
    </w:r>
    <w:r w:rsidR="00332B5E" w:rsidRPr="00332B5E">
      <w:rPr>
        <w:sz w:val="18"/>
        <w:szCs w:val="18"/>
      </w:rPr>
      <w:t xml:space="preserve"> </w:t>
    </w:r>
    <w:r w:rsidR="00116900" w:rsidRPr="00332B5E">
      <w:rPr>
        <w:sz w:val="18"/>
        <w:szCs w:val="18"/>
      </w:rPr>
      <w:t>12</w:t>
    </w:r>
    <w:r w:rsidR="00332B5E" w:rsidRPr="00332B5E">
      <w:rPr>
        <w:sz w:val="18"/>
        <w:szCs w:val="18"/>
      </w:rPr>
      <w:t xml:space="preserve"> </w:t>
    </w:r>
    <w:r w:rsidR="00116900" w:rsidRPr="00332B5E">
      <w:rPr>
        <w:sz w:val="18"/>
        <w:szCs w:val="18"/>
      </w:rPr>
      <w:t xml:space="preserve">71; </w:t>
    </w:r>
    <w:r w:rsidR="00332B5E" w:rsidRPr="00332B5E">
      <w:rPr>
        <w:sz w:val="18"/>
        <w:szCs w:val="18"/>
      </w:rPr>
      <w:t xml:space="preserve">e-mail: </w:t>
    </w:r>
    <w:hyperlink r:id="rId2" w:history="1">
      <w:r w:rsidRPr="0070482B">
        <w:rPr>
          <w:rStyle w:val="Hipercze"/>
          <w:sz w:val="18"/>
          <w:szCs w:val="18"/>
        </w:rPr>
        <w:t>znp@prz.edu.pl</w:t>
      </w:r>
    </w:hyperlink>
  </w:p>
  <w:p w:rsidR="00173A36" w:rsidRPr="00332B5E" w:rsidRDefault="00173A36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157"/>
    <w:multiLevelType w:val="hybridMultilevel"/>
    <w:tmpl w:val="B7A27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B361B"/>
    <w:multiLevelType w:val="hybridMultilevel"/>
    <w:tmpl w:val="D8BAD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B5DA5"/>
    <w:multiLevelType w:val="hybridMultilevel"/>
    <w:tmpl w:val="7DD01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1C"/>
    <w:rsid w:val="00020A0E"/>
    <w:rsid w:val="000225C6"/>
    <w:rsid w:val="000255E8"/>
    <w:rsid w:val="00041E12"/>
    <w:rsid w:val="00053513"/>
    <w:rsid w:val="000B67B1"/>
    <w:rsid w:val="000E43F1"/>
    <w:rsid w:val="000F0EBB"/>
    <w:rsid w:val="00116900"/>
    <w:rsid w:val="00126748"/>
    <w:rsid w:val="00173A36"/>
    <w:rsid w:val="0017600F"/>
    <w:rsid w:val="0023633A"/>
    <w:rsid w:val="00255C64"/>
    <w:rsid w:val="002574F2"/>
    <w:rsid w:val="002C4E7B"/>
    <w:rsid w:val="002F7FEF"/>
    <w:rsid w:val="00303966"/>
    <w:rsid w:val="003116F0"/>
    <w:rsid w:val="00332B5E"/>
    <w:rsid w:val="00377FCD"/>
    <w:rsid w:val="00383246"/>
    <w:rsid w:val="003D7538"/>
    <w:rsid w:val="003E1B15"/>
    <w:rsid w:val="003F3E1D"/>
    <w:rsid w:val="00424189"/>
    <w:rsid w:val="00424BBA"/>
    <w:rsid w:val="0045152E"/>
    <w:rsid w:val="0045623C"/>
    <w:rsid w:val="00461696"/>
    <w:rsid w:val="00470868"/>
    <w:rsid w:val="004755FB"/>
    <w:rsid w:val="004B7F39"/>
    <w:rsid w:val="004D1F53"/>
    <w:rsid w:val="004D31AA"/>
    <w:rsid w:val="004D799F"/>
    <w:rsid w:val="0055276D"/>
    <w:rsid w:val="00570B88"/>
    <w:rsid w:val="005966D7"/>
    <w:rsid w:val="005A0692"/>
    <w:rsid w:val="005D14B7"/>
    <w:rsid w:val="005E6EE9"/>
    <w:rsid w:val="005F5F69"/>
    <w:rsid w:val="00692719"/>
    <w:rsid w:val="00695F91"/>
    <w:rsid w:val="006B263D"/>
    <w:rsid w:val="006C1237"/>
    <w:rsid w:val="006D30EF"/>
    <w:rsid w:val="006E3A7F"/>
    <w:rsid w:val="00723941"/>
    <w:rsid w:val="0073440E"/>
    <w:rsid w:val="00751F02"/>
    <w:rsid w:val="007A1205"/>
    <w:rsid w:val="007D230A"/>
    <w:rsid w:val="00814CDB"/>
    <w:rsid w:val="00835F7D"/>
    <w:rsid w:val="00841333"/>
    <w:rsid w:val="008562EB"/>
    <w:rsid w:val="00890473"/>
    <w:rsid w:val="008A09A1"/>
    <w:rsid w:val="008B6996"/>
    <w:rsid w:val="008C4198"/>
    <w:rsid w:val="009056EE"/>
    <w:rsid w:val="0096211C"/>
    <w:rsid w:val="00982AE7"/>
    <w:rsid w:val="009B0E2C"/>
    <w:rsid w:val="009E780E"/>
    <w:rsid w:val="00A32BDC"/>
    <w:rsid w:val="00A3435E"/>
    <w:rsid w:val="00A62A2F"/>
    <w:rsid w:val="00AA422E"/>
    <w:rsid w:val="00AB5E89"/>
    <w:rsid w:val="00B06A07"/>
    <w:rsid w:val="00B14DD0"/>
    <w:rsid w:val="00B17D33"/>
    <w:rsid w:val="00B52593"/>
    <w:rsid w:val="00C1426C"/>
    <w:rsid w:val="00C42A8B"/>
    <w:rsid w:val="00C6623C"/>
    <w:rsid w:val="00CB5074"/>
    <w:rsid w:val="00CC06DA"/>
    <w:rsid w:val="00CF19BB"/>
    <w:rsid w:val="00CF69D4"/>
    <w:rsid w:val="00D33F04"/>
    <w:rsid w:val="00D52E9B"/>
    <w:rsid w:val="00D7066D"/>
    <w:rsid w:val="00D9559E"/>
    <w:rsid w:val="00DA41A1"/>
    <w:rsid w:val="00DE7663"/>
    <w:rsid w:val="00E51CBB"/>
    <w:rsid w:val="00E635B6"/>
    <w:rsid w:val="00E837CB"/>
    <w:rsid w:val="00E92AC4"/>
    <w:rsid w:val="00EB36A9"/>
    <w:rsid w:val="00ED1547"/>
    <w:rsid w:val="00EF7B54"/>
    <w:rsid w:val="00F03225"/>
    <w:rsid w:val="00F25807"/>
    <w:rsid w:val="00FA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900"/>
  </w:style>
  <w:style w:type="paragraph" w:styleId="Stopka">
    <w:name w:val="footer"/>
    <w:basedOn w:val="Normalny"/>
    <w:link w:val="StopkaZnak"/>
    <w:uiPriority w:val="99"/>
    <w:unhideWhenUsed/>
    <w:rsid w:val="0011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900"/>
  </w:style>
  <w:style w:type="paragraph" w:styleId="Tekstdymka">
    <w:name w:val="Balloon Text"/>
    <w:basedOn w:val="Normalny"/>
    <w:link w:val="TekstdymkaZnak"/>
    <w:uiPriority w:val="99"/>
    <w:semiHidden/>
    <w:unhideWhenUsed/>
    <w:rsid w:val="0011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3A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16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2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23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7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7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7F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900"/>
  </w:style>
  <w:style w:type="paragraph" w:styleId="Stopka">
    <w:name w:val="footer"/>
    <w:basedOn w:val="Normalny"/>
    <w:link w:val="StopkaZnak"/>
    <w:uiPriority w:val="99"/>
    <w:unhideWhenUsed/>
    <w:rsid w:val="00116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900"/>
  </w:style>
  <w:style w:type="paragraph" w:styleId="Tekstdymka">
    <w:name w:val="Balloon Text"/>
    <w:basedOn w:val="Normalny"/>
    <w:link w:val="TekstdymkaZnak"/>
    <w:uiPriority w:val="99"/>
    <w:semiHidden/>
    <w:unhideWhenUsed/>
    <w:rsid w:val="0011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90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73A3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16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12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12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123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7F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7F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7F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8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rz.edu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A680-E7C5-4B74-9162-655A3E52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Stec</dc:creator>
  <cp:lastModifiedBy>Artur Stec</cp:lastModifiedBy>
  <cp:revision>6</cp:revision>
  <dcterms:created xsi:type="dcterms:W3CDTF">2019-10-07T19:37:00Z</dcterms:created>
  <dcterms:modified xsi:type="dcterms:W3CDTF">2019-10-10T11:03:00Z</dcterms:modified>
</cp:coreProperties>
</file>